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spacing w:before="240" w:after="240"/>
        <w:rPr>
          <w:color w:val="auto"/>
          <w:highlight w:val="none"/>
          <w:shd w:fill="auto" w:val="clear"/>
        </w:rPr>
      </w:pPr>
      <w:r>
        <w:rPr>
          <w:color w:val="auto"/>
          <w:shd w:fill="auto" w:val="clear"/>
        </w:rPr>
        <w:t xml:space="preserve">Supplementary </w:t>
      </w:r>
      <w:r>
        <w:rPr>
          <w:color w:val="auto"/>
          <w:shd w:fill="auto" w:val="clear"/>
        </w:rPr>
        <w:t>Figure</w:t>
      </w:r>
      <w:r>
        <w:rPr>
          <w:color w:val="auto"/>
          <w:shd w:fill="auto" w:val="clear"/>
        </w:rPr>
        <w:t xml:space="preserve"> Legends</w:t>
      </w:r>
    </w:p>
    <w:p>
      <w:pPr>
        <w:pStyle w:val="BodyText"/>
        <w:rPr/>
      </w:pPr>
      <w:r>
        <w:rPr>
          <w:b/>
          <w:bCs/>
          <w:color w:val="auto"/>
          <w:shd w:fill="auto" w:val="clear"/>
        </w:rPr>
        <w:t>Figure S1: Library sizes of simulated communities.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Boxplots showing the final library sizes of the simulated communities, grouped by expected library size and Treatment. </w:t>
      </w:r>
      <w:r>
        <w:rPr>
          <w:color w:val="auto"/>
          <w:shd w:fill="auto" w:val="clear"/>
        </w:rPr>
        <w:t xml:space="preserve">Black </w:t>
      </w:r>
      <w:r>
        <w:rPr>
          <w:color w:val="auto"/>
          <w:shd w:fill="auto" w:val="clear"/>
        </w:rPr>
        <w:t>points show</w:t>
      </w:r>
      <w:r>
        <w:rPr>
          <w:color w:val="auto"/>
          <w:shd w:fill="auto" w:val="clear"/>
        </w:rPr>
        <w:t xml:space="preserve"> individual libraries.</w:t>
      </w:r>
      <w:r>
        <w:rPr>
          <w:color w:val="auto"/>
          <w:shd w:fill="auto" w:val="clear"/>
        </w:rPr>
        <w:t xml:space="preserve"> Significance is shown </w:t>
      </w:r>
      <w:r>
        <w:rPr>
          <w:color w:val="auto"/>
          <w:shd w:fill="auto" w:val="clear"/>
        </w:rPr>
        <w:t>per plot using</w:t>
      </w:r>
      <w:r>
        <w:rPr>
          <w:color w:val="auto"/>
          <w:shd w:fill="auto" w:val="clear"/>
        </w:rPr>
        <w:t xml:space="preserve"> compact letter display after anova and correction with Tukey’s Honest Significant Differences method.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 xml:space="preserve">Figure S2: Library sizes </w:t>
      </w:r>
      <w:r>
        <w:rPr>
          <w:b/>
          <w:bCs/>
          <w:color w:val="auto"/>
          <w:shd w:fill="auto" w:val="clear"/>
        </w:rPr>
        <w:t xml:space="preserve">from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dataset</w:t>
      </w:r>
      <w:r>
        <w:rPr>
          <w:b/>
          <w:bCs/>
          <w:color w:val="auto"/>
          <w:shd w:fill="auto" w:val="clear"/>
        </w:rPr>
        <w:t xml:space="preserve">. </w:t>
      </w:r>
      <w:r>
        <w:rPr>
          <w:b w:val="false"/>
          <w:bCs w:val="false"/>
          <w:color w:val="auto"/>
          <w:shd w:fill="auto" w:val="clear"/>
        </w:rPr>
        <w:t>Points</w:t>
      </w:r>
      <w:r>
        <w:rPr>
          <w:b w:val="false"/>
          <w:bCs w:val="false"/>
          <w:color w:val="auto"/>
          <w:shd w:fill="auto" w:val="clear"/>
        </w:rPr>
        <w:t xml:space="preserve"> showing the final library sizes of the </w:t>
      </w:r>
      <w:r>
        <w:rPr>
          <w:b w:val="false"/>
          <w:bCs w:val="false"/>
          <w:color w:val="auto"/>
          <w:shd w:fill="auto" w:val="clear"/>
        </w:rPr>
        <w:t>Pauvert et al. (2019)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community</w:t>
      </w:r>
      <w:r>
        <w:rPr>
          <w:b w:val="false"/>
          <w:bCs w:val="false"/>
          <w:color w:val="auto"/>
          <w:shd w:fill="auto" w:val="clear"/>
        </w:rPr>
        <w:t xml:space="preserve">, grouped by Treatment. Significance is shown </w:t>
      </w:r>
      <w:r>
        <w:rPr>
          <w:b w:val="false"/>
          <w:bCs w:val="false"/>
          <w:color w:val="auto"/>
          <w:shd w:fill="auto" w:val="clear"/>
        </w:rPr>
        <w:t>per plot using</w:t>
      </w:r>
      <w:r>
        <w:rPr>
          <w:b w:val="false"/>
          <w:bCs w:val="false"/>
          <w:color w:val="auto"/>
          <w:shd w:fill="auto" w:val="clear"/>
        </w:rPr>
        <w:t xml:space="preserve"> compact letter display after anova and correction with Tukey’s Honest Significant Differences method.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Phylum-level taxonomy of the </w:t>
      </w:r>
      <w:r>
        <w:rPr>
          <w:b/>
          <w:bCs/>
          <w:color w:val="auto"/>
          <w:shd w:fill="auto" w:val="clear"/>
        </w:rPr>
        <w:t>simulated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4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Class-level taxonomy of the </w:t>
      </w:r>
      <w:r>
        <w:rPr>
          <w:b/>
          <w:bCs/>
          <w:color w:val="auto"/>
          <w:shd w:fill="auto" w:val="clear"/>
        </w:rPr>
        <w:t>simulated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5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Order-level taxonomy of the </w:t>
      </w:r>
      <w:r>
        <w:rPr>
          <w:b/>
          <w:bCs/>
          <w:color w:val="auto"/>
          <w:shd w:fill="auto" w:val="clear"/>
        </w:rPr>
        <w:t>simulated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6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Family-level taxonomy of the </w:t>
      </w:r>
      <w:r>
        <w:rPr>
          <w:b/>
          <w:bCs/>
          <w:color w:val="auto"/>
          <w:shd w:fill="auto" w:val="clear"/>
        </w:rPr>
        <w:t>simulated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7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Genus-level taxonomy of the </w:t>
      </w:r>
      <w:r>
        <w:rPr>
          <w:b/>
          <w:bCs/>
          <w:color w:val="auto"/>
          <w:shd w:fill="auto" w:val="clear"/>
        </w:rPr>
        <w:t>simulated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8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E</w:t>
      </w:r>
      <w:r>
        <w:rPr>
          <w:b/>
          <w:bCs/>
          <w:color w:val="auto"/>
          <w:shd w:fill="auto" w:val="clear"/>
        </w:rPr>
        <w:t>stimated richness of ITS1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Boxplots showing the estimated richness of the ITS1 communities </w:t>
      </w:r>
      <w:r>
        <w:rPr>
          <w:color w:val="auto"/>
          <w:shd w:fill="auto" w:val="clear"/>
        </w:rPr>
        <w:t xml:space="preserve">among treatments </w:t>
      </w:r>
      <w:r>
        <w:rPr>
          <w:color w:val="auto"/>
          <w:shd w:fill="auto" w:val="clear"/>
        </w:rPr>
        <w:t>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9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E</w:t>
      </w:r>
      <w:r>
        <w:rPr>
          <w:b/>
          <w:bCs/>
          <w:color w:val="auto"/>
          <w:shd w:fill="auto" w:val="clear"/>
        </w:rPr>
        <w:t>stimated richness of ITS2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Boxplots showing the estimated richness of the ITS</w:t>
      </w:r>
      <w:r>
        <w:rPr>
          <w:color w:val="auto"/>
          <w:shd w:fill="auto" w:val="clear"/>
        </w:rPr>
        <w:t>2</w:t>
      </w:r>
      <w:r>
        <w:rPr>
          <w:color w:val="auto"/>
          <w:shd w:fill="auto" w:val="clear"/>
        </w:rPr>
        <w:t xml:space="preserve"> communities </w:t>
      </w:r>
      <w:r>
        <w:rPr>
          <w:color w:val="auto"/>
          <w:shd w:fill="auto" w:val="clear"/>
        </w:rPr>
        <w:t xml:space="preserve">among treatments </w:t>
      </w:r>
      <w:r>
        <w:rPr>
          <w:color w:val="auto"/>
          <w:shd w:fill="auto" w:val="clear"/>
        </w:rPr>
        <w:t>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>0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Differences between the true and estimated richness of ITS1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 xml:space="preserve">difference between the </w:t>
      </w:r>
      <w:r>
        <w:rPr>
          <w:color w:val="auto"/>
          <w:shd w:fill="auto" w:val="clear"/>
        </w:rPr>
        <w:t>estimated richness of the ITS</w:t>
      </w:r>
      <w:r>
        <w:rPr>
          <w:color w:val="auto"/>
          <w:shd w:fill="auto" w:val="clear"/>
        </w:rPr>
        <w:t>1</w:t>
      </w:r>
      <w:r>
        <w:rPr>
          <w:color w:val="auto"/>
          <w:shd w:fill="auto" w:val="clear"/>
        </w:rPr>
        <w:t xml:space="preserve"> communities </w:t>
      </w:r>
      <w:r>
        <w:rPr>
          <w:color w:val="auto"/>
          <w:shd w:fill="auto" w:val="clear"/>
        </w:rPr>
        <w:t>and the true diversity among treatments</w:t>
      </w:r>
      <w:r>
        <w:rPr>
          <w:color w:val="auto"/>
          <w:shd w:fill="auto" w:val="clear"/>
        </w:rPr>
        <w:t xml:space="preserve">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Differences between the true and estimated richness of ITS2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 xml:space="preserve">difference between the </w:t>
      </w:r>
      <w:r>
        <w:rPr>
          <w:color w:val="auto"/>
          <w:shd w:fill="auto" w:val="clear"/>
        </w:rPr>
        <w:t xml:space="preserve">estimated richness of the ITS2 communities </w:t>
      </w:r>
      <w:r>
        <w:rPr>
          <w:color w:val="auto"/>
          <w:shd w:fill="auto" w:val="clear"/>
        </w:rPr>
        <w:t>and the true diversity among treatments</w:t>
      </w:r>
      <w:r>
        <w:rPr>
          <w:color w:val="auto"/>
          <w:shd w:fill="auto" w:val="clear"/>
        </w:rPr>
        <w:t xml:space="preserve">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Shannon index of ITS1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 xml:space="preserve">Shannon </w:t>
      </w:r>
      <w:r>
        <w:rPr>
          <w:b w:val="false"/>
          <w:bCs w:val="false"/>
          <w:color w:val="auto"/>
          <w:shd w:fill="auto" w:val="clear"/>
        </w:rPr>
        <w:t>indices</w:t>
      </w:r>
      <w:r>
        <w:rPr>
          <w:color w:val="auto"/>
          <w:shd w:fill="auto" w:val="clear"/>
        </w:rPr>
        <w:t xml:space="preserve"> of the ITS</w:t>
      </w:r>
      <w:r>
        <w:rPr>
          <w:color w:val="auto"/>
          <w:shd w:fill="auto" w:val="clear"/>
        </w:rPr>
        <w:t>1</w:t>
      </w:r>
      <w:r>
        <w:rPr>
          <w:color w:val="auto"/>
          <w:shd w:fill="auto" w:val="clear"/>
        </w:rPr>
        <w:t xml:space="preserve"> communities among treatments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Shannon index of ITS2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 xml:space="preserve">Shannon </w:t>
      </w:r>
      <w:r>
        <w:rPr>
          <w:b w:val="false"/>
          <w:bCs w:val="false"/>
          <w:color w:val="auto"/>
          <w:shd w:fill="auto" w:val="clear"/>
        </w:rPr>
        <w:t>indices</w:t>
      </w:r>
      <w:r>
        <w:rPr>
          <w:color w:val="auto"/>
          <w:shd w:fill="auto" w:val="clear"/>
        </w:rPr>
        <w:t xml:space="preserve"> of the ITS</w:t>
      </w:r>
      <w:r>
        <w:rPr>
          <w:color w:val="auto"/>
          <w:shd w:fill="auto" w:val="clear"/>
        </w:rPr>
        <w:t>2</w:t>
      </w:r>
      <w:r>
        <w:rPr>
          <w:color w:val="auto"/>
          <w:shd w:fill="auto" w:val="clear"/>
        </w:rPr>
        <w:t xml:space="preserve"> communities among treatments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14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Simpson index of ITS1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>Simpson</w:t>
      </w:r>
      <w:r>
        <w:rPr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indices</w:t>
      </w:r>
      <w:r>
        <w:rPr>
          <w:color w:val="auto"/>
          <w:shd w:fill="auto" w:val="clear"/>
        </w:rPr>
        <w:t xml:space="preserve"> of the ITS</w:t>
      </w:r>
      <w:r>
        <w:rPr>
          <w:color w:val="auto"/>
          <w:shd w:fill="auto" w:val="clear"/>
        </w:rPr>
        <w:t>2</w:t>
      </w:r>
      <w:r>
        <w:rPr>
          <w:color w:val="auto"/>
          <w:shd w:fill="auto" w:val="clear"/>
        </w:rPr>
        <w:t xml:space="preserve"> communities among treatments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15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Simpson index of ITS2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Boxplots showing the </w:t>
      </w:r>
      <w:r>
        <w:rPr>
          <w:color w:val="auto"/>
          <w:shd w:fill="auto" w:val="clear"/>
        </w:rPr>
        <w:t>Simpson</w:t>
      </w:r>
      <w:r>
        <w:rPr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indices</w:t>
      </w:r>
      <w:r>
        <w:rPr>
          <w:color w:val="auto"/>
          <w:shd w:fill="auto" w:val="clear"/>
        </w:rPr>
        <w:t xml:space="preserve"> of the ITS</w:t>
      </w:r>
      <w:r>
        <w:rPr>
          <w:color w:val="auto"/>
          <w:shd w:fill="auto" w:val="clear"/>
        </w:rPr>
        <w:t>2</w:t>
      </w:r>
      <w:r>
        <w:rPr>
          <w:color w:val="auto"/>
          <w:shd w:fill="auto" w:val="clear"/>
        </w:rPr>
        <w:t xml:space="preserve"> communities among treatments by diversity and library size. Black points show estimated diversity in individual replicates.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16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Sensitivity of different treatments for ITS1.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Line graphs showing mean sensitivity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17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Sensitivity of different treatments for ITS2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Line graphs showing mean sensitivity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18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Specificity of different treatments for ITS1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Line graphs showing mean specificity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19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Specificity of different treatments for ITS2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Line graphs showing mean specificity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20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Aitchison distance of ITS1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showing </w:t>
      </w:r>
      <w:r>
        <w:rPr>
          <w:b w:val="false"/>
          <w:bCs w:val="false"/>
          <w:color w:val="auto"/>
          <w:shd w:fill="auto" w:val="clear"/>
        </w:rPr>
        <w:t>Aitchison distance</w:t>
      </w:r>
      <w:r>
        <w:rPr>
          <w:color w:val="auto"/>
          <w:shd w:fill="auto" w:val="clear"/>
        </w:rPr>
        <w:t xml:space="preserve">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21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Aitchison distance of ITS2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showing </w:t>
      </w:r>
      <w:r>
        <w:rPr>
          <w:b w:val="false"/>
          <w:bCs w:val="false"/>
          <w:color w:val="auto"/>
          <w:shd w:fill="auto" w:val="clear"/>
        </w:rPr>
        <w:t>Aitchison distance</w:t>
      </w:r>
      <w:r>
        <w:rPr>
          <w:color w:val="auto"/>
          <w:shd w:fill="auto" w:val="clear"/>
        </w:rPr>
        <w:t xml:space="preserve">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22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Bray-Curtis dissimilarity of ITS1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</w:t>
      </w:r>
      <w:r>
        <w:rPr>
          <w:b w:val="false"/>
          <w:bCs w:val="false"/>
          <w:color w:val="auto"/>
          <w:shd w:fill="auto" w:val="clear"/>
        </w:rPr>
        <w:t xml:space="preserve">showing </w:t>
      </w:r>
      <w:r>
        <w:rPr>
          <w:b w:val="false"/>
          <w:bCs w:val="false"/>
          <w:color w:val="auto"/>
          <w:shd w:fill="auto" w:val="clear"/>
        </w:rPr>
        <w:t>Bray-Curtis dissimilarity</w:t>
      </w:r>
      <w:r>
        <w:rPr>
          <w:b w:val="false"/>
          <w:bCs w:val="false"/>
          <w:color w:val="auto"/>
          <w:shd w:fill="auto" w:val="clear"/>
        </w:rPr>
        <w:t xml:space="preserve"> (</w:t>
      </w:r>
      <w:r>
        <w:rPr>
          <w:rFonts w:ascii="Liberation Serif" w:hAnsi="Liberation Serif"/>
          <w:b w:val="false"/>
          <w:bCs w:val="false"/>
          <w:color w:val="auto"/>
          <w:shd w:fill="auto" w:val="clear"/>
        </w:rPr>
        <w:t>±</w:t>
      </w:r>
      <w:r>
        <w:rPr>
          <w:rFonts w:ascii="Liberation Serif" w:hAnsi="Liberation Serif"/>
          <w:b w:val="false"/>
          <w:bCs w:val="false"/>
          <w:color w:val="auto"/>
          <w:shd w:fill="auto" w:val="clear"/>
        </w:rPr>
        <w:t xml:space="preserve"> 1 standard devi</w:t>
      </w:r>
      <w:r>
        <w:rPr>
          <w:rFonts w:ascii="Liberation Serif" w:hAnsi="Liberation Serif"/>
          <w:color w:val="auto"/>
          <w:shd w:fill="auto" w:val="clear"/>
        </w:rPr>
        <w:t xml:space="preserve">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23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Bray-Curtis dissimilarity of ITS2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</w:t>
      </w:r>
      <w:r>
        <w:rPr>
          <w:b w:val="false"/>
          <w:bCs w:val="false"/>
          <w:color w:val="auto"/>
          <w:shd w:fill="auto" w:val="clear"/>
        </w:rPr>
        <w:t xml:space="preserve">showing </w:t>
      </w:r>
      <w:r>
        <w:rPr>
          <w:b w:val="false"/>
          <w:bCs w:val="false"/>
          <w:color w:val="auto"/>
          <w:shd w:fill="auto" w:val="clear"/>
        </w:rPr>
        <w:t>Bray-Curtis dissimilarity</w:t>
      </w:r>
      <w:r>
        <w:rPr>
          <w:b w:val="false"/>
          <w:bCs w:val="false"/>
          <w:color w:val="auto"/>
          <w:shd w:fill="auto" w:val="clear"/>
        </w:rPr>
        <w:t xml:space="preserve"> (</w:t>
      </w:r>
      <w:r>
        <w:rPr>
          <w:rFonts w:ascii="Liberation Serif" w:hAnsi="Liberation Serif"/>
          <w:b w:val="false"/>
          <w:bCs w:val="false"/>
          <w:color w:val="auto"/>
          <w:shd w:fill="auto" w:val="clear"/>
        </w:rPr>
        <w:t>±</w:t>
      </w:r>
      <w:r>
        <w:rPr>
          <w:rFonts w:ascii="Liberation Serif" w:hAnsi="Liberation Serif"/>
          <w:b w:val="false"/>
          <w:bCs w:val="false"/>
          <w:color w:val="auto"/>
          <w:shd w:fill="auto" w:val="clear"/>
        </w:rPr>
        <w:t xml:space="preserve"> 1 standard devi</w:t>
      </w:r>
      <w:r>
        <w:rPr>
          <w:rFonts w:ascii="Liberation Serif" w:hAnsi="Liberation Serif"/>
          <w:color w:val="auto"/>
          <w:shd w:fill="auto" w:val="clear"/>
        </w:rPr>
        <w:t xml:space="preserve">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24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Hellinger distance of ITS1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showing </w:t>
      </w:r>
      <w:r>
        <w:rPr>
          <w:b w:val="false"/>
          <w:bCs w:val="false"/>
          <w:color w:val="auto"/>
          <w:shd w:fill="auto" w:val="clear"/>
        </w:rPr>
        <w:t>Hellinger distance</w:t>
      </w:r>
      <w:r>
        <w:rPr>
          <w:color w:val="auto"/>
          <w:shd w:fill="auto" w:val="clear"/>
        </w:rPr>
        <w:t xml:space="preserve">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25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Hellinger distance of ITS2 communities from the TRUE community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showing </w:t>
      </w:r>
      <w:r>
        <w:rPr>
          <w:b w:val="false"/>
          <w:bCs w:val="false"/>
          <w:color w:val="auto"/>
          <w:shd w:fill="auto" w:val="clear"/>
        </w:rPr>
        <w:t>Hellinger distance</w:t>
      </w:r>
      <w:r>
        <w:rPr>
          <w:color w:val="auto"/>
          <w:shd w:fill="auto" w:val="clear"/>
        </w:rPr>
        <w:t xml:space="preserve"> (</w:t>
      </w:r>
      <w:r>
        <w:rPr>
          <w:rFonts w:ascii="Liberation Serif" w:hAnsi="Liberation Serif"/>
          <w:color w:val="auto"/>
          <w:shd w:fill="auto" w:val="clear"/>
        </w:rPr>
        <w:t>±</w:t>
      </w:r>
      <w:r>
        <w:rPr>
          <w:rFonts w:ascii="Liberation Serif" w:hAnsi="Liberation Serif"/>
          <w:color w:val="auto"/>
          <w:shd w:fill="auto" w:val="clear"/>
        </w:rPr>
        <w:t xml:space="preserve"> 1 standard deviation) </w:t>
      </w:r>
      <w:r>
        <w:rPr>
          <w:rFonts w:ascii="Liberation Serif" w:hAnsi="Liberation Serif"/>
          <w:color w:val="auto"/>
          <w:shd w:fill="auto" w:val="clear"/>
        </w:rPr>
        <w:t xml:space="preserve">from the TRUE community </w:t>
      </w:r>
      <w:r>
        <w:rPr>
          <w:rFonts w:ascii="Liberation Serif" w:hAnsi="Liberation Serif"/>
          <w:color w:val="auto"/>
          <w:shd w:fill="auto" w:val="clear"/>
        </w:rPr>
        <w:t>for each treatment grouped by library size, diversity and taxonomic level.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 xml:space="preserve">Figure </w:t>
      </w:r>
      <w:r>
        <w:rPr>
          <w:b/>
          <w:bCs/>
          <w:color w:val="auto"/>
          <w:shd w:fill="auto" w:val="clear"/>
        </w:rPr>
        <w:t>S26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Variation explained by factors in linear models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Boxplots of variation explained by different factors 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 xml:space="preserve">for either the short (Treatment) or full (Method &amp; Processing) linear model 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>for the ITS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>1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 xml:space="preserve"> marker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 xml:space="preserve">. </w:t>
      </w:r>
      <w:r>
        <w:rPr>
          <w:b w:val="false"/>
          <w:bCs w:val="false"/>
          <w:i w:val="false"/>
          <w:iCs w:val="false"/>
          <w:color w:val="auto"/>
          <w:shd w:fill="auto" w:val="clear"/>
        </w:rPr>
        <w:t>Residuals are not shown.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>7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Phylum-level taxonomy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>8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Class</w:t>
      </w:r>
      <w:r>
        <w:rPr>
          <w:b/>
          <w:bCs/>
          <w:color w:val="auto"/>
          <w:shd w:fill="auto" w:val="clear"/>
        </w:rPr>
        <w:t xml:space="preserve">-level taxonomy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>9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Order</w:t>
      </w:r>
      <w:r>
        <w:rPr>
          <w:b/>
          <w:bCs/>
          <w:color w:val="auto"/>
          <w:shd w:fill="auto" w:val="clear"/>
        </w:rPr>
        <w:t xml:space="preserve">-level taxonomy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30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Family</w:t>
      </w:r>
      <w:r>
        <w:rPr>
          <w:b/>
          <w:bCs/>
          <w:color w:val="auto"/>
          <w:shd w:fill="auto" w:val="clear"/>
        </w:rPr>
        <w:t xml:space="preserve">-level taxonomy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1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Genus</w:t>
      </w:r>
      <w:r>
        <w:rPr>
          <w:b/>
          <w:bCs/>
          <w:color w:val="auto"/>
          <w:shd w:fill="auto" w:val="clear"/>
        </w:rPr>
        <w:t xml:space="preserve">-level taxonomy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Taxa with an average relative abundance less than 1% were combined in the figure.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 xml:space="preserve">: Estimated richness of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>E</w:t>
      </w:r>
      <w:r>
        <w:rPr>
          <w:b w:val="false"/>
          <w:bCs w:val="false"/>
          <w:color w:val="auto"/>
          <w:shd w:fill="auto" w:val="clear"/>
        </w:rPr>
        <w:t>stimated richness among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 xml:space="preserve">: Differences between the true and estimated richness of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communities. </w:t>
      </w:r>
      <w:r>
        <w:rPr>
          <w:b w:val="false"/>
          <w:bCs w:val="false"/>
          <w:color w:val="auto"/>
          <w:shd w:fill="auto" w:val="clear"/>
        </w:rPr>
        <w:t>Difference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 xml:space="preserve">between </w:t>
      </w:r>
      <w:r>
        <w:rPr>
          <w:b w:val="false"/>
          <w:bCs w:val="false"/>
          <w:color w:val="auto"/>
          <w:shd w:fill="auto" w:val="clear"/>
        </w:rPr>
        <w:t xml:space="preserve">the true diversity </w:t>
      </w:r>
      <w:r>
        <w:rPr>
          <w:b w:val="false"/>
          <w:bCs w:val="false"/>
          <w:color w:val="auto"/>
          <w:shd w:fill="auto" w:val="clear"/>
        </w:rPr>
        <w:t xml:space="preserve">and estimated diversity </w:t>
      </w:r>
      <w:r>
        <w:rPr>
          <w:b w:val="false"/>
          <w:bCs w:val="false"/>
          <w:color w:val="auto"/>
          <w:shd w:fill="auto" w:val="clear"/>
        </w:rPr>
        <w:t>among treatment</w:t>
      </w:r>
      <w:r>
        <w:rPr>
          <w:b w:val="false"/>
          <w:bCs w:val="false"/>
          <w:color w:val="auto"/>
          <w:shd w:fill="auto" w:val="clear"/>
        </w:rPr>
        <w:t>s</w:t>
      </w:r>
      <w:r>
        <w:rPr>
          <w:b w:val="false"/>
          <w:bCs w:val="false"/>
          <w:color w:val="auto"/>
          <w:shd w:fill="auto" w:val="clear"/>
        </w:rPr>
        <w:t>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4</w:t>
      </w:r>
      <w:r>
        <w:rPr>
          <w:b/>
          <w:bCs/>
          <w:color w:val="auto"/>
          <w:shd w:fill="auto" w:val="clear"/>
        </w:rPr>
        <w:t xml:space="preserve">: Shannon index of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communities. </w:t>
      </w:r>
      <w:r>
        <w:rPr>
          <w:b w:val="false"/>
          <w:bCs w:val="false"/>
          <w:color w:val="auto"/>
          <w:shd w:fill="auto" w:val="clear"/>
        </w:rPr>
        <w:t xml:space="preserve">Shannon </w:t>
      </w:r>
      <w:r>
        <w:rPr>
          <w:b w:val="false"/>
          <w:bCs w:val="false"/>
          <w:color w:val="auto"/>
          <w:shd w:fill="auto" w:val="clear"/>
        </w:rPr>
        <w:t>indices</w:t>
      </w:r>
      <w:r>
        <w:rPr>
          <w:b w:val="false"/>
          <w:bCs w:val="false"/>
          <w:color w:val="auto"/>
          <w:shd w:fill="auto" w:val="clear"/>
        </w:rPr>
        <w:t xml:space="preserve"> among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5</w:t>
      </w:r>
      <w:r>
        <w:rPr>
          <w:b/>
          <w:bCs/>
          <w:color w:val="auto"/>
          <w:shd w:fill="auto" w:val="clear"/>
        </w:rPr>
        <w:t xml:space="preserve">: Simpson index of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communities.</w:t>
      </w:r>
      <w:r>
        <w:rPr>
          <w:b w:val="false"/>
          <w:bCs w:val="false"/>
          <w:color w:val="auto"/>
          <w:shd w:fill="auto" w:val="clear"/>
        </w:rPr>
        <w:t xml:space="preserve"> Simpson </w:t>
      </w:r>
      <w:r>
        <w:rPr>
          <w:b w:val="false"/>
          <w:bCs w:val="false"/>
          <w:color w:val="auto"/>
          <w:shd w:fill="auto" w:val="clear"/>
        </w:rPr>
        <w:t xml:space="preserve">indices </w:t>
      </w:r>
      <w:r>
        <w:rPr>
          <w:b w:val="false"/>
          <w:bCs w:val="false"/>
          <w:color w:val="auto"/>
          <w:shd w:fill="auto" w:val="clear"/>
        </w:rPr>
        <w:t>among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6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Sensitivity of different treatments for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>Line graphs showing mean sensitivity</w:t>
      </w:r>
      <w:r>
        <w:rPr>
          <w:rFonts w:ascii="Liberation Serif" w:hAnsi="Liberation Serif"/>
          <w:color w:val="auto"/>
          <w:shd w:fill="auto" w:val="clear"/>
        </w:rPr>
        <w:t xml:space="preserve"> for each treatment grouped by taxonomic level. </w:t>
      </w:r>
      <w:r>
        <w:rPr>
          <w:rFonts w:ascii="Liberation Serif" w:hAnsi="Liberation Serif"/>
          <w:color w:val="auto"/>
          <w:shd w:fill="auto" w:val="clear"/>
        </w:rPr>
        <w:t>Points show individual measurements.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Figure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>7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 xml:space="preserve">Specificity of different treatments for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Line graphs showing mean specificity </w:t>
      </w:r>
      <w:r>
        <w:rPr>
          <w:rFonts w:ascii="Liberation Serif" w:hAnsi="Liberation Serif"/>
          <w:color w:val="auto"/>
          <w:shd w:fill="auto" w:val="clear"/>
        </w:rPr>
        <w:t xml:space="preserve">for each treatment grouped by taxonomic level. </w:t>
      </w:r>
      <w:r>
        <w:rPr>
          <w:rFonts w:ascii="Liberation Serif" w:hAnsi="Liberation Serif"/>
          <w:color w:val="auto"/>
          <w:shd w:fill="auto" w:val="clear"/>
        </w:rPr>
        <w:t>Points show individual measurements.</w:t>
      </w:r>
    </w:p>
    <w:p>
      <w:pPr>
        <w:pStyle w:val="Heading3"/>
        <w:rPr>
          <w:color w:val="auto"/>
          <w:highlight w:val="none"/>
          <w:shd w:fill="auto" w:val="clear"/>
        </w:rPr>
      </w:pPr>
      <w:r>
        <w:rPr>
          <w:color w:val="auto"/>
          <w:shd w:fill="auto" w:val="clear"/>
        </w:rPr>
        <w:t xml:space="preserve">Supplementary </w:t>
      </w:r>
      <w:r>
        <w:rPr>
          <w:color w:val="auto"/>
          <w:shd w:fill="auto" w:val="clear"/>
        </w:rPr>
        <w:t>Table</w:t>
      </w:r>
      <w:r>
        <w:rPr>
          <w:color w:val="auto"/>
          <w:shd w:fill="auto" w:val="clear"/>
        </w:rPr>
        <w:t xml:space="preserve"> Legends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Table</w:t>
      </w:r>
      <w:r>
        <w:rPr>
          <w:b/>
          <w:bCs/>
          <w:color w:val="auto"/>
          <w:shd w:fill="auto" w:val="clear"/>
        </w:rPr>
        <w:t xml:space="preserve"> S1: </w:t>
      </w:r>
      <w:r>
        <w:rPr>
          <w:b/>
          <w:bCs/>
          <w:color w:val="auto"/>
          <w:shd w:fill="auto" w:val="clear"/>
        </w:rPr>
        <w:t xml:space="preserve">Phylum-level </w:t>
      </w:r>
      <w:r>
        <w:rPr>
          <w:b/>
          <w:bCs/>
          <w:color w:val="auto"/>
          <w:shd w:fill="auto" w:val="clear"/>
        </w:rPr>
        <w:t>abundance</w:t>
      </w:r>
      <w:r>
        <w:rPr>
          <w:b/>
          <w:bCs/>
          <w:color w:val="auto"/>
          <w:shd w:fill="auto" w:val="clear"/>
        </w:rPr>
        <w:t xml:space="preserve">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 xml:space="preserve">Expected abundance of taxa given the mock communities of </w:t>
      </w:r>
      <w:r>
        <w:rPr>
          <w:b w:val="false"/>
          <w:bCs w:val="false"/>
          <w:color w:val="auto"/>
          <w:shd w:fill="auto" w:val="clear"/>
        </w:rPr>
        <w:t>Pauvert et al. (2019)</w:t>
      </w:r>
      <w:r>
        <w:rPr>
          <w:b w:val="false"/>
          <w:bCs w:val="false"/>
          <w:color w:val="auto"/>
          <w:shd w:fill="auto" w:val="clear"/>
        </w:rPr>
        <w:t xml:space="preserve"> compared with the estimated results of the TRUE community and the actual abundances measured through different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Table</w:t>
      </w:r>
      <w:r>
        <w:rPr>
          <w:b/>
          <w:bCs/>
          <w:color w:val="auto"/>
          <w:shd w:fill="auto" w:val="clear"/>
        </w:rPr>
        <w:t xml:space="preserve"> S</w:t>
      </w:r>
      <w:r>
        <w:rPr>
          <w:b/>
          <w:bCs/>
          <w:color w:val="auto"/>
          <w:shd w:fill="auto" w:val="clear"/>
        </w:rPr>
        <w:t>2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Class</w:t>
      </w:r>
      <w:r>
        <w:rPr>
          <w:b/>
          <w:bCs/>
          <w:color w:val="auto"/>
          <w:shd w:fill="auto" w:val="clear"/>
        </w:rPr>
        <w:t xml:space="preserve">-level </w:t>
      </w:r>
      <w:r>
        <w:rPr>
          <w:b/>
          <w:bCs/>
          <w:color w:val="auto"/>
          <w:shd w:fill="auto" w:val="clear"/>
        </w:rPr>
        <w:t>abundance</w:t>
      </w:r>
      <w:r>
        <w:rPr>
          <w:b/>
          <w:bCs/>
          <w:color w:val="auto"/>
          <w:shd w:fill="auto" w:val="clear"/>
        </w:rPr>
        <w:t xml:space="preserve">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Expected abundance of taxa given the mock communities of </w:t>
      </w:r>
      <w:r>
        <w:rPr>
          <w:color w:val="auto"/>
          <w:shd w:fill="auto" w:val="clear"/>
        </w:rPr>
        <w:t>Pauvert et al. (2019)</w:t>
      </w:r>
      <w:r>
        <w:rPr>
          <w:color w:val="auto"/>
          <w:shd w:fill="auto" w:val="clear"/>
        </w:rPr>
        <w:t xml:space="preserve"> compared with the estimated results of the TRUE community and the actual abundances measured through different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Table</w:t>
      </w:r>
      <w:r>
        <w:rPr>
          <w:b/>
          <w:bCs/>
          <w:color w:val="auto"/>
          <w:shd w:fill="auto" w:val="clear"/>
        </w:rPr>
        <w:t xml:space="preserve"> S</w:t>
      </w:r>
      <w:r>
        <w:rPr>
          <w:b/>
          <w:bCs/>
          <w:color w:val="auto"/>
          <w:shd w:fill="auto" w:val="clear"/>
        </w:rPr>
        <w:t>3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Order</w:t>
      </w:r>
      <w:r>
        <w:rPr>
          <w:b/>
          <w:bCs/>
          <w:color w:val="auto"/>
          <w:shd w:fill="auto" w:val="clear"/>
        </w:rPr>
        <w:t xml:space="preserve">-level </w:t>
      </w:r>
      <w:r>
        <w:rPr>
          <w:b/>
          <w:bCs/>
          <w:color w:val="auto"/>
          <w:shd w:fill="auto" w:val="clear"/>
        </w:rPr>
        <w:t>abundance</w:t>
      </w:r>
      <w:r>
        <w:rPr>
          <w:b/>
          <w:bCs/>
          <w:color w:val="auto"/>
          <w:shd w:fill="auto" w:val="clear"/>
        </w:rPr>
        <w:t xml:space="preserve">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 xml:space="preserve">Expected abundance of taxa given the mock communities of </w:t>
      </w:r>
      <w:r>
        <w:rPr>
          <w:b w:val="false"/>
          <w:bCs w:val="false"/>
          <w:color w:val="auto"/>
          <w:shd w:fill="auto" w:val="clear"/>
        </w:rPr>
        <w:t>Pauvert et al. (2019)</w:t>
      </w:r>
      <w:r>
        <w:rPr>
          <w:b w:val="false"/>
          <w:bCs w:val="false"/>
          <w:color w:val="auto"/>
          <w:shd w:fill="auto" w:val="clear"/>
        </w:rPr>
        <w:t xml:space="preserve"> compared with the estimated results of the TRUE community and the actual abundances measured through different treatments.</w:t>
      </w:r>
    </w:p>
    <w:p>
      <w:pPr>
        <w:pStyle w:val="BodyText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Table</w:t>
      </w:r>
      <w:r>
        <w:rPr>
          <w:b/>
          <w:bCs/>
          <w:color w:val="auto"/>
          <w:shd w:fill="auto" w:val="clear"/>
        </w:rPr>
        <w:t xml:space="preserve"> S</w:t>
      </w:r>
      <w:r>
        <w:rPr>
          <w:b/>
          <w:bCs/>
          <w:color w:val="auto"/>
          <w:shd w:fill="auto" w:val="clear"/>
        </w:rPr>
        <w:t>4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Family</w:t>
      </w:r>
      <w:r>
        <w:rPr>
          <w:b/>
          <w:bCs/>
          <w:color w:val="auto"/>
          <w:shd w:fill="auto" w:val="clear"/>
        </w:rPr>
        <w:t xml:space="preserve">-level </w:t>
      </w:r>
      <w:r>
        <w:rPr>
          <w:b/>
          <w:bCs/>
          <w:color w:val="auto"/>
          <w:shd w:fill="auto" w:val="clear"/>
        </w:rPr>
        <w:t>abundance</w:t>
      </w:r>
      <w:r>
        <w:rPr>
          <w:b/>
          <w:bCs/>
          <w:color w:val="auto"/>
          <w:shd w:fill="auto" w:val="clear"/>
        </w:rPr>
        <w:t xml:space="preserve">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color w:val="auto"/>
          <w:shd w:fill="auto" w:val="clear"/>
        </w:rPr>
        <w:t xml:space="preserve"> </w:t>
      </w:r>
      <w:r>
        <w:rPr>
          <w:color w:val="auto"/>
          <w:shd w:fill="auto" w:val="clear"/>
        </w:rPr>
        <w:t xml:space="preserve">Expected abundance of taxa given the mock communities of </w:t>
      </w:r>
      <w:r>
        <w:rPr>
          <w:color w:val="auto"/>
          <w:shd w:fill="auto" w:val="clear"/>
        </w:rPr>
        <w:t>Pauvert et al. (2019)</w:t>
      </w:r>
      <w:r>
        <w:rPr>
          <w:color w:val="auto"/>
          <w:shd w:fill="auto" w:val="clear"/>
        </w:rPr>
        <w:t xml:space="preserve"> compared with the estimated results of the TRUE community and the actual abundances measured through different treatments.</w:t>
      </w:r>
    </w:p>
    <w:p>
      <w:pPr>
        <w:pStyle w:val="BodyText"/>
        <w:spacing w:before="0" w:after="140"/>
        <w:rPr>
          <w:color w:val="auto"/>
          <w:highlight w:val="none"/>
          <w:shd w:fill="auto" w:val="clear"/>
        </w:rPr>
      </w:pPr>
      <w:r>
        <w:rPr>
          <w:b/>
          <w:bCs/>
          <w:color w:val="auto"/>
          <w:shd w:fill="auto" w:val="clear"/>
        </w:rPr>
        <w:t>Table</w:t>
      </w:r>
      <w:r>
        <w:rPr>
          <w:b/>
          <w:bCs/>
          <w:color w:val="auto"/>
          <w:shd w:fill="auto" w:val="clear"/>
        </w:rPr>
        <w:t xml:space="preserve"> S</w:t>
      </w:r>
      <w:r>
        <w:rPr>
          <w:b/>
          <w:bCs/>
          <w:color w:val="auto"/>
          <w:shd w:fill="auto" w:val="clear"/>
        </w:rPr>
        <w:t>5</w:t>
      </w:r>
      <w:r>
        <w:rPr>
          <w:b/>
          <w:bCs/>
          <w:color w:val="auto"/>
          <w:shd w:fill="auto" w:val="clear"/>
        </w:rPr>
        <w:t xml:space="preserve">: </w:t>
      </w:r>
      <w:r>
        <w:rPr>
          <w:b/>
          <w:bCs/>
          <w:color w:val="auto"/>
          <w:shd w:fill="auto" w:val="clear"/>
        </w:rPr>
        <w:t>Genus</w:t>
      </w:r>
      <w:r>
        <w:rPr>
          <w:b/>
          <w:bCs/>
          <w:color w:val="auto"/>
          <w:shd w:fill="auto" w:val="clear"/>
        </w:rPr>
        <w:t xml:space="preserve">-level </w:t>
      </w:r>
      <w:r>
        <w:rPr>
          <w:b/>
          <w:bCs/>
          <w:color w:val="auto"/>
          <w:shd w:fill="auto" w:val="clear"/>
        </w:rPr>
        <w:t>abundance</w:t>
      </w:r>
      <w:r>
        <w:rPr>
          <w:b/>
          <w:bCs/>
          <w:color w:val="auto"/>
          <w:shd w:fill="auto" w:val="clear"/>
        </w:rPr>
        <w:t xml:space="preserve"> of the </w:t>
      </w:r>
      <w:r>
        <w:rPr>
          <w:b/>
          <w:bCs/>
          <w:color w:val="auto"/>
          <w:shd w:fill="auto" w:val="clear"/>
        </w:rPr>
        <w:t>Pauvert et al. (2019)</w:t>
      </w:r>
      <w:r>
        <w:rPr>
          <w:b/>
          <w:bCs/>
          <w:color w:val="auto"/>
          <w:shd w:fill="auto" w:val="clear"/>
        </w:rPr>
        <w:t xml:space="preserve"> communities</w:t>
      </w:r>
      <w:r>
        <w:rPr>
          <w:b/>
          <w:bCs/>
          <w:color w:val="auto"/>
          <w:shd w:fill="auto" w:val="clear"/>
        </w:rPr>
        <w:t>.</w:t>
      </w:r>
      <w:r>
        <w:rPr>
          <w:b w:val="false"/>
          <w:bCs w:val="false"/>
          <w:color w:val="auto"/>
          <w:shd w:fill="auto" w:val="clear"/>
        </w:rPr>
        <w:t xml:space="preserve"> </w:t>
      </w:r>
      <w:r>
        <w:rPr>
          <w:b w:val="false"/>
          <w:bCs w:val="false"/>
          <w:color w:val="auto"/>
          <w:shd w:fill="auto" w:val="clear"/>
        </w:rPr>
        <w:t xml:space="preserve">Expected abundance of taxa given the mock communities of </w:t>
      </w:r>
      <w:r>
        <w:rPr>
          <w:b w:val="false"/>
          <w:bCs w:val="false"/>
          <w:color w:val="auto"/>
          <w:shd w:fill="auto" w:val="clear"/>
        </w:rPr>
        <w:t>Pauvert et al. (2019)</w:t>
      </w:r>
      <w:r>
        <w:rPr>
          <w:b w:val="false"/>
          <w:bCs w:val="false"/>
          <w:color w:val="auto"/>
          <w:shd w:fill="auto" w:val="clear"/>
        </w:rPr>
        <w:t xml:space="preserve"> compared with the estimated results of the TRUE community and the actual abundances measured through different treatments.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Verdana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ambria Math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Book Antiqua">
    <w:charset w:val="01" w:characterSet="utf-8"/>
    <w:family w:val="roman"/>
    <w:pitch w:val="variable"/>
  </w:font>
  <w:font w:name="Liberation Serif">
    <w:altName w:val="Times New Roman"/>
    <w:charset w:val="01" w:characterSet="utf-8"/>
    <w:family w:val="roman"/>
    <w:pitch w:val="default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imes New Roman"/>
        <w:lang w:val="en-GB" w:eastAsia="en-GB" w:bidi="ar-SA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36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4"/>
      <w:lang w:eastAsia="de-DE" w:val="en-GB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numPr>
        <w:ilvl w:val="0"/>
        <w:numId w:val="0"/>
      </w:numPr>
      <w:spacing w:lineRule="auto" w:line="240" w:before="480" w:after="240"/>
      <w:outlineLvl w:val="0"/>
    </w:pPr>
    <w:rPr>
      <w:rFonts w:cs="Arial"/>
      <w:b/>
      <w:bCs/>
      <w:color w:val="000000"/>
      <w:kern w:val="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numPr>
        <w:ilvl w:val="0"/>
        <w:numId w:val="0"/>
      </w:numPr>
      <w:spacing w:lineRule="auto" w:line="240"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numPr>
        <w:ilvl w:val="0"/>
        <w:numId w:val="0"/>
      </w:numPr>
      <w:spacing w:lineRule="auto" w:line="240" w:before="240"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numPr>
        <w:ilvl w:val="0"/>
        <w:numId w:val="0"/>
      </w:numPr>
      <w:outlineLvl w:val="3"/>
    </w:pPr>
    <w:rPr>
      <w:b/>
      <w:bCs/>
      <w:szCs w:val="28"/>
    </w:rPr>
  </w:style>
  <w:style w:type="character" w:styleId="DefaultParagraphFont">
    <w:name w:val="Default Paragraph Font"/>
    <w:qFormat/>
    <w:rPr/>
  </w:style>
  <w:style w:type="character" w:styleId="BulletsChar">
    <w:name w:val="Bullets Char"/>
    <w:qFormat/>
    <w:rPr>
      <w:rFonts w:ascii="Verdana" w:hAnsi="Verdana" w:eastAsia="Times New Roman" w:cs="Times New Roman"/>
      <w:sz w:val="19"/>
      <w:szCs w:val="24"/>
      <w:lang w:eastAsia="de-DE"/>
    </w:rPr>
  </w:style>
  <w:style w:type="character" w:styleId="Heading1Char">
    <w:name w:val="Heading 1 Char"/>
    <w:link w:val="Heading1"/>
    <w:qFormat/>
    <w:rPr>
      <w:rFonts w:ascii="Times New Roman" w:hAnsi="Times New Roman" w:eastAsia="Times New Roman" w:cs="Arial"/>
      <w:b/>
      <w:bCs/>
      <w:color w:val="000000"/>
      <w:kern w:val="2"/>
      <w:szCs w:val="32"/>
      <w:lang w:eastAsia="de-DE"/>
    </w:rPr>
  </w:style>
  <w:style w:type="character" w:styleId="Heading3Char">
    <w:name w:val="Heading 3 Char"/>
    <w:link w:val="Heading3"/>
    <w:qFormat/>
    <w:rPr>
      <w:rFonts w:ascii="Times New Roman" w:hAnsi="Times New Roman" w:eastAsia="Times New Roman" w:cs="Arial"/>
      <w:b/>
      <w:bCs/>
      <w:szCs w:val="26"/>
      <w:lang w:eastAsia="de-DE"/>
    </w:rPr>
  </w:style>
  <w:style w:type="character" w:styleId="Heading4Char">
    <w:name w:val="Heading 4 Char"/>
    <w:link w:val="Heading4"/>
    <w:qFormat/>
    <w:rPr>
      <w:rFonts w:ascii="Verdana" w:hAnsi="Verdana" w:eastAsia="Times New Roman" w:cs="Times New Roman"/>
      <w:b/>
      <w:bCs/>
      <w:sz w:val="19"/>
      <w:szCs w:val="28"/>
      <w:lang w:eastAsia="de-DE"/>
    </w:rPr>
  </w:style>
  <w:style w:type="character" w:styleId="HeaderChar">
    <w:name w:val="Header Char"/>
    <w:link w:val="Header"/>
    <w:qFormat/>
    <w:rPr>
      <w:rFonts w:ascii="Verdana" w:hAnsi="Verdana" w:eastAsia="Times New Roman" w:cs="Times New Roman"/>
      <w:sz w:val="19"/>
      <w:szCs w:val="24"/>
      <w:lang w:eastAsia="de-DE"/>
    </w:rPr>
  </w:style>
  <w:style w:type="character" w:styleId="Heading2Char">
    <w:name w:val="Heading 2 Char"/>
    <w:link w:val="Heading2"/>
    <w:qFormat/>
    <w:rPr>
      <w:rFonts w:ascii="Times New Roman" w:hAnsi="Times New Roman" w:eastAsia="Times New Roman" w:cs="Arial"/>
      <w:b/>
      <w:bCs/>
      <w:iCs/>
      <w:szCs w:val="28"/>
      <w:lang w:eastAsia="de-DE"/>
    </w:rPr>
  </w:style>
  <w:style w:type="character" w:styleId="Hyperlink">
    <w:name w:val="Hyperlink"/>
    <w:rPr>
      <w:color w:val="0000FF"/>
      <w:u w:val="single"/>
    </w:rPr>
  </w:style>
  <w:style w:type="character" w:styleId="CopernicusWordtemplateChar">
    <w:name w:val="Copernicus_Word_template Char"/>
    <w:basedOn w:val="DefaultParagraphFont"/>
    <w:link w:val="CopernicusWordtemplate"/>
    <w:qFormat/>
    <w:rPr>
      <w:rFonts w:ascii="Times New Roman" w:hAnsi="Times New Roman" w:eastAsia="Times New Roman"/>
      <w:sz w:val="24"/>
      <w:szCs w:val="24"/>
      <w:lang w:eastAsia="de-DE"/>
    </w:rPr>
  </w:style>
  <w:style w:type="character" w:styleId="LineNumber">
    <w:name w:val="line number"/>
    <w:basedOn w:val="DefaultParagraphFont"/>
    <w:rPr/>
  </w:style>
  <w:style w:type="character" w:styleId="MStitleChar">
    <w:name w:val="MS title Char"/>
    <w:basedOn w:val="DefaultParagraphFont"/>
    <w:link w:val="MStitle"/>
    <w:qFormat/>
    <w:rPr>
      <w:rFonts w:ascii="Times New Roman" w:hAnsi="Times New Roman" w:eastAsia="Times New Roman"/>
      <w:b/>
      <w:sz w:val="34"/>
      <w:szCs w:val="24"/>
      <w:lang w:eastAsia="de-DE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AffiliationChar">
    <w:name w:val="Affiliation Char"/>
    <w:basedOn w:val="DefaultParagraphFont"/>
    <w:link w:val="Affiliation"/>
    <w:qFormat/>
    <w:rPr>
      <w:rFonts w:ascii="Times New Roman" w:hAnsi="Times New Roman" w:eastAsia="Times New Roman"/>
      <w:szCs w:val="24"/>
      <w:lang w:eastAsia="de-DE"/>
    </w:rPr>
  </w:style>
  <w:style w:type="character" w:styleId="BalloonTextChar">
    <w:name w:val="Balloon Text Char"/>
    <w:basedOn w:val="DefaultParagraphFont"/>
    <w:link w:val="BalloonText"/>
    <w:qFormat/>
    <w:rPr>
      <w:rFonts w:ascii="Tahoma" w:hAnsi="Tahoma" w:eastAsia="Times New Roman" w:cs="Tahoma"/>
      <w:sz w:val="16"/>
      <w:szCs w:val="16"/>
      <w:lang w:eastAsia="de-DE"/>
    </w:rPr>
  </w:style>
  <w:style w:type="character" w:styleId="EquationChar">
    <w:name w:val="Equation Char"/>
    <w:basedOn w:val="DefaultParagraphFont"/>
    <w:link w:val="Equation"/>
    <w:qFormat/>
    <w:rPr>
      <w:rFonts w:ascii="Cambria Math" w:hAnsi="Cambria Math" w:eastAsia="Times New Roman"/>
      <w:szCs w:val="24"/>
      <w:lang w:eastAsia="de-DE"/>
    </w:rPr>
  </w:style>
  <w:style w:type="character" w:styleId="FooterChar">
    <w:name w:val="Footer Char"/>
    <w:basedOn w:val="DefaultParagraphFont"/>
    <w:link w:val="Footer"/>
    <w:qFormat/>
    <w:rPr>
      <w:rFonts w:ascii="Times New Roman" w:hAnsi="Times New Roman" w:eastAsia="Times New Roman"/>
      <w:szCs w:val="24"/>
      <w:lang w:eastAsia="de-DE"/>
    </w:rPr>
  </w:style>
  <w:style w:type="character" w:styleId="CorrespondenceChar">
    <w:name w:val="Correspondence Char"/>
    <w:basedOn w:val="DefaultParagraphFont"/>
    <w:link w:val="Correspondence"/>
    <w:qFormat/>
    <w:rPr>
      <w:rFonts w:ascii="Times New Roman" w:hAnsi="Times New Roman" w:eastAsia="Times New Roman"/>
      <w:szCs w:val="24"/>
      <w:lang w:eastAsia="de-DE"/>
    </w:rPr>
  </w:style>
  <w:style w:type="character" w:styleId="AuthorsChar">
    <w:name w:val="Authors Char"/>
    <w:basedOn w:val="DefaultParagraphFont"/>
    <w:link w:val="Authors"/>
    <w:qFormat/>
    <w:rPr>
      <w:rFonts w:ascii="Times New Roman" w:hAnsi="Times New Roman" w:eastAsia="Times New Roman"/>
      <w:sz w:val="24"/>
      <w:szCs w:val="24"/>
      <w:lang w:eastAsia="de-D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next w:val="Normal"/>
    <w:qFormat/>
    <w:pPr>
      <w:spacing w:lineRule="auto" w:line="240" w:before="0" w:after="200"/>
    </w:pPr>
    <w:rPr>
      <w:b/>
      <w:bCs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etreff">
    <w:name w:val="Betreff"/>
    <w:basedOn w:val="Normal"/>
    <w:next w:val="Normal"/>
    <w:qFormat/>
    <w:pPr/>
    <w:rPr>
      <w:b/>
    </w:rPr>
  </w:style>
  <w:style w:type="paragraph" w:styleId="Bullets">
    <w:name w:val="Bullets"/>
    <w:basedOn w:val="Normal"/>
    <w:link w:val="BulletsChar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Kontakt">
    <w:name w:val="Kontakt"/>
    <w:basedOn w:val="Normal"/>
    <w:qFormat/>
    <w:pPr>
      <w:spacing w:lineRule="exact" w:line="160"/>
    </w:pPr>
    <w:rPr>
      <w:color w:val="808080"/>
      <w:sz w:val="13"/>
    </w:rPr>
  </w:style>
  <w:style w:type="paragraph" w:styleId="Name">
    <w:name w:val="Name"/>
    <w:basedOn w:val="Normal"/>
    <w:qFormat/>
    <w:pPr>
      <w:spacing w:before="160" w:after="80"/>
    </w:pPr>
    <w:rPr>
      <w:rFonts w:ascii="Book Antiqua" w:hAnsi="Book Antiqua"/>
      <w:color w:val="808080"/>
      <w:sz w:val="22"/>
    </w:rPr>
  </w:style>
  <w:style w:type="paragraph" w:styleId="CopernicusWordtemplate">
    <w:name w:val="Copernicus_Word_template"/>
    <w:basedOn w:val="Normal"/>
    <w:link w:val="CopernicusWordtemplateChar"/>
    <w:qFormat/>
    <w:pPr/>
    <w:rPr/>
  </w:style>
  <w:style w:type="paragraph" w:styleId="MStitle">
    <w:name w:val="MS title"/>
    <w:basedOn w:val="Normal"/>
    <w:link w:val="MStitleChar"/>
    <w:qFormat/>
    <w:pPr>
      <w:spacing w:lineRule="exact" w:line="440" w:before="360" w:after="0"/>
      <w:contextualSpacing/>
    </w:pPr>
    <w:rPr>
      <w:b/>
      <w:sz w:val="34"/>
    </w:rPr>
  </w:style>
  <w:style w:type="paragraph" w:styleId="ListParagraph">
    <w:name w:val="List Paragraph"/>
    <w:basedOn w:val="Normal"/>
    <w:qFormat/>
    <w:pPr>
      <w:spacing w:before="0" w:after="0"/>
      <w:ind w:start="720"/>
      <w:contextualSpacing/>
    </w:pPr>
    <w:rPr/>
  </w:style>
  <w:style w:type="paragraph" w:styleId="Affiliation">
    <w:name w:val="Affiliation"/>
    <w:basedOn w:val="Normal"/>
    <w:link w:val="AffiliationChar"/>
    <w:qFormat/>
    <w:pPr>
      <w:spacing w:lineRule="auto" w:line="240" w:before="120" w:after="0"/>
      <w:contextualSpacing/>
    </w:pPr>
    <w:rPr/>
  </w:style>
  <w:style w:type="paragraph" w:styleId="BalloonText">
    <w:name w:val="Balloon Text"/>
    <w:basedOn w:val="Normal"/>
    <w:link w:val="BalloonTextChar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Equation">
    <w:name w:val="Equation"/>
    <w:basedOn w:val="Normal"/>
    <w:link w:val="EquationChar"/>
    <w:qFormat/>
    <w:pPr>
      <w:spacing w:before="120" w:after="120"/>
    </w:pPr>
    <w:rPr>
      <w:rFonts w:ascii="Cambria Math" w:hAnsi="Cambria Math"/>
    </w:rPr>
  </w:style>
  <w:style w:type="paragraph" w:styleId="Footer">
    <w:name w:val="footer"/>
    <w:basedOn w:val="Normal"/>
    <w:link w:val="FooterChar"/>
    <w:pPr>
      <w:suppressLineNumbers/>
      <w:tabs>
        <w:tab w:val="clear" w:pos="720"/>
        <w:tab w:val="center" w:pos="4513" w:leader="none"/>
        <w:tab w:val="right" w:pos="9026" w:leader="none"/>
      </w:tabs>
      <w:spacing w:lineRule="auto" w:line="240"/>
    </w:pPr>
    <w:rPr/>
  </w:style>
  <w:style w:type="paragraph" w:styleId="Correspondence">
    <w:name w:val="Correspondence"/>
    <w:basedOn w:val="Normal"/>
    <w:link w:val="CorrespondenceChar"/>
    <w:qFormat/>
    <w:pPr>
      <w:spacing w:lineRule="auto" w:line="240" w:before="120" w:after="360"/>
    </w:pPr>
    <w:rPr/>
  </w:style>
  <w:style w:type="paragraph" w:styleId="Authors">
    <w:name w:val="Authors"/>
    <w:basedOn w:val="Normal"/>
    <w:link w:val="AuthorsChar"/>
    <w:qFormat/>
    <w:pPr>
      <w:spacing w:lineRule="auto" w:line="240" w:before="180" w:after="0"/>
      <w:contextualSpacing/>
    </w:pPr>
    <w:rPr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LibreOffice/25.8.3.2$Linux_X86_64 LibreOffice_project/580$Build-2</Application>
  <AppVersion>15.0000</AppVersion>
  <Pages>3</Pages>
  <Words>1290</Words>
  <Characters>7610</Characters>
  <CharactersWithSpaces>8856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2025-12-11T13:18:48Z</dcterms:created>
  <dc:creator/>
  <dc:description/>
  <dc:language>en-GB</dc:language>
  <cp:lastModifiedBy/>
  <dcterms:modified xsi:type="dcterms:W3CDTF">2025-12-11T13:20:36Z</dcterms:modified>
  <cp:revision>1</cp:revision>
  <dc:subject/>
  <dc:title/>
</cp:coreProperties>
</file>